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3A415A" w:rsidRPr="004A6898" w:rsidRDefault="003A415A"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r w:rsidRPr="004A6898">
        <w:rPr>
          <w:rFonts w:ascii="Times New Roman" w:eastAsia="Times New Roman" w:hAnsi="Times New Roman" w:cs="Times New Roman"/>
          <w:bCs/>
          <w:color w:val="000000"/>
          <w:sz w:val="24"/>
          <w:szCs w:val="24"/>
          <w:bdr w:val="none" w:sz="0" w:space="0" w:color="auto" w:frame="1"/>
        </w:rPr>
        <w:t>Capital Structure Decisions</w:t>
      </w:r>
    </w:p>
    <w:p w:rsidR="003A415A" w:rsidRPr="004A6898" w:rsidRDefault="003A415A"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r w:rsidRPr="004A6898">
        <w:rPr>
          <w:rFonts w:ascii="Times New Roman" w:eastAsia="Times New Roman" w:hAnsi="Times New Roman" w:cs="Times New Roman"/>
          <w:bCs/>
          <w:color w:val="000000"/>
          <w:sz w:val="24"/>
          <w:szCs w:val="24"/>
          <w:bdr w:val="none" w:sz="0" w:space="0" w:color="auto" w:frame="1"/>
        </w:rPr>
        <w:t xml:space="preserve">Student Name </w:t>
      </w:r>
    </w:p>
    <w:p w:rsidR="003A415A" w:rsidRPr="004A6898" w:rsidRDefault="003A415A"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r w:rsidRPr="004A6898">
        <w:rPr>
          <w:rFonts w:ascii="Times New Roman" w:eastAsia="Times New Roman" w:hAnsi="Times New Roman" w:cs="Times New Roman"/>
          <w:bCs/>
          <w:color w:val="000000"/>
          <w:sz w:val="24"/>
          <w:szCs w:val="24"/>
          <w:bdr w:val="none" w:sz="0" w:space="0" w:color="auto" w:frame="1"/>
        </w:rPr>
        <w:t xml:space="preserve">Instructor </w:t>
      </w:r>
    </w:p>
    <w:p w:rsidR="003A415A" w:rsidRPr="004A6898" w:rsidRDefault="003A415A"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r w:rsidRPr="004A6898">
        <w:rPr>
          <w:rFonts w:ascii="Times New Roman" w:eastAsia="Times New Roman" w:hAnsi="Times New Roman" w:cs="Times New Roman"/>
          <w:bCs/>
          <w:color w:val="000000"/>
          <w:sz w:val="24"/>
          <w:szCs w:val="24"/>
          <w:bdr w:val="none" w:sz="0" w:space="0" w:color="auto" w:frame="1"/>
        </w:rPr>
        <w:t xml:space="preserve">Institution </w:t>
      </w:r>
    </w:p>
    <w:p w:rsidR="003A415A" w:rsidRPr="004A6898" w:rsidRDefault="003A415A"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lastRenderedPageBreak/>
        <w:t>Compare Scenario A (no debt) to Scenario B (increasing debt 9.5% interest rate)</w:t>
      </w:r>
    </w:p>
    <w:p w:rsidR="00FA6272" w:rsidRPr="004A6898" w:rsidRDefault="00FA6272" w:rsidP="004A6898">
      <w:pPr>
        <w:numPr>
          <w:ilvl w:val="0"/>
          <w:numId w:val="1"/>
        </w:numPr>
        <w:spacing w:before="100" w:beforeAutospacing="1" w:after="100" w:afterAutospacing="1" w:line="480" w:lineRule="auto"/>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What impact does increasing the debt have on the taxable income?</w:t>
      </w:r>
    </w:p>
    <w:p w:rsidR="00FA6272" w:rsidRPr="004A6898" w:rsidRDefault="00FA6272" w:rsidP="00E47B4B">
      <w:pPr>
        <w:spacing w:before="100" w:beforeAutospacing="1" w:after="100" w:afterAutospacing="1" w:line="480" w:lineRule="auto"/>
        <w:ind w:firstLine="720"/>
        <w:jc w:val="both"/>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According to Molly (2018), debt financing is very common and when a company uses it to raise funds, it must pay a principal amount and interest to its lenders or bondholders. Moving from a no-debt scenario to a debt-scenario brings about a reduction in net income and cash flow of the company. This is because of the interest payments that have to be made. This reduction in net income means that the company will enjoy some tax benefit through reduction in the amount to be taxed (taxable income) (</w:t>
      </w:r>
      <w:r w:rsidRPr="004A6898">
        <w:rPr>
          <w:rFonts w:ascii="Times New Roman" w:hAnsi="Times New Roman" w:cs="Times New Roman"/>
          <w:sz w:val="24"/>
          <w:szCs w:val="24"/>
          <w:shd w:val="clear" w:color="auto" w:fill="FFFFFF"/>
        </w:rPr>
        <w:t>Ferrari, Masetti, &amp; Ren, 2018)</w:t>
      </w:r>
      <w:r w:rsidRPr="004A6898">
        <w:rPr>
          <w:rFonts w:ascii="Times New Roman" w:eastAsia="Times New Roman" w:hAnsi="Times New Roman" w:cs="Times New Roman"/>
          <w:sz w:val="24"/>
          <w:szCs w:val="24"/>
        </w:rPr>
        <w:t xml:space="preserve">. Interest is subtracted from the profit and loss statement before the tax is calculated, giving corporations tax benefit on interest. With an income of 1,500,000 SAR, scenario A means that the company has 0 debt, taxable income remains the same. In scenario B1, the company has a debt of 2,500,000 SAR meaning that it will repay an interest amount of 237,500 SAR (9.5% of the debt). The taxable amount for the company will be reduced by this interest amount. It means, the tax amount to be paid will be equal to 284,062.50 SAR (22.5% of (1,500,000 – 237,500 SAR)). For B2, with a debt of 5 million SAR, the company will need to pay an interest of 475,000 SAR (9.5% of the 5 million). However, its taxable income amount will have reduced by the interest amount an indication that the company will have a less tax obligation than the prior scenarios. </w:t>
      </w:r>
    </w:p>
    <w:p w:rsidR="00FA6272" w:rsidRPr="004A6898" w:rsidRDefault="00FA6272" w:rsidP="004A6898">
      <w:pPr>
        <w:numPr>
          <w:ilvl w:val="0"/>
          <w:numId w:val="1"/>
        </w:numPr>
        <w:spacing w:before="100" w:beforeAutospacing="1" w:after="100" w:afterAutospacing="1" w:line="480" w:lineRule="auto"/>
        <w:ind w:left="720" w:hanging="360"/>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What impact does increasing the debt have on the net income?</w:t>
      </w:r>
    </w:p>
    <w:p w:rsidR="00FA6272" w:rsidRPr="004A6898" w:rsidRDefault="00FA6272" w:rsidP="00E47B4B">
      <w:pPr>
        <w:spacing w:before="100" w:beforeAutospacing="1" w:after="100" w:afterAutospacing="1" w:line="480" w:lineRule="auto"/>
        <w:ind w:firstLine="360"/>
        <w:jc w:val="both"/>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Interest payment is an expense that is automatically deducted from the income or revenue that is returned by company operations. Similarly, tax is also an expense that the company has to make before it shares off its net earnings to the shareholders. As advised from the excel calculations, when debt is increased, the company’s net earnings are boosted. First, the debt is incorporated into financing company operations to make earnings. Secondly, it reduces the amount taxable from the overall company earnings. This is true as indicated by the scenarios in question – for scenario A, net income is 1,162,500, B1 1,215,937.50, and B2 1,269,375 SAR.</w:t>
      </w:r>
    </w:p>
    <w:p w:rsidR="00FA6272" w:rsidRPr="004A6898" w:rsidRDefault="00FA6272" w:rsidP="004A6898">
      <w:pPr>
        <w:numPr>
          <w:ilvl w:val="0"/>
          <w:numId w:val="1"/>
        </w:numPr>
        <w:spacing w:before="100" w:beforeAutospacing="1" w:after="100" w:afterAutospacing="1" w:line="480" w:lineRule="auto"/>
        <w:ind w:left="720" w:hanging="360"/>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What impact does increasing the debt have on the dollar return to investors?</w:t>
      </w:r>
    </w:p>
    <w:p w:rsidR="00FA6272" w:rsidRPr="004A6898" w:rsidRDefault="00FA6272" w:rsidP="00E47B4B">
      <w:pPr>
        <w:spacing w:before="100" w:beforeAutospacing="1" w:after="100" w:afterAutospacing="1" w:line="480" w:lineRule="auto"/>
        <w:ind w:firstLine="360"/>
        <w:jc w:val="both"/>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 xml:space="preserve">Using debt financing leverages and builds on the shareholders’ equity value when the principal amount is repaid. Dollar return to investors will therefore increase in the long run. The direct impact of debt financing in the dollar return to investors might look like its declining but it will eventually increase. </w:t>
      </w:r>
    </w:p>
    <w:p w:rsidR="00FA6272" w:rsidRPr="004A6898" w:rsidRDefault="00FA6272" w:rsidP="004A6898">
      <w:pPr>
        <w:spacing w:before="100" w:beforeAutospacing="1" w:after="100" w:afterAutospacing="1" w:line="480" w:lineRule="auto"/>
        <w:jc w:val="center"/>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Compare Scenario B (increasing debt 9.5% interest rate) to Scenario C (increasing debt 12.5% interest rate)</w:t>
      </w:r>
    </w:p>
    <w:p w:rsidR="00FA6272" w:rsidRPr="004A6898" w:rsidRDefault="00FA6272" w:rsidP="004A6898">
      <w:pPr>
        <w:numPr>
          <w:ilvl w:val="0"/>
          <w:numId w:val="2"/>
        </w:numPr>
        <w:spacing w:before="100" w:beforeAutospacing="1" w:after="100" w:afterAutospacing="1" w:line="480" w:lineRule="auto"/>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What impact does the higher interest rate have on the taxable income?</w:t>
      </w:r>
    </w:p>
    <w:p w:rsidR="00FA6272" w:rsidRPr="004A6898" w:rsidRDefault="00FA6272" w:rsidP="00131AEE">
      <w:pPr>
        <w:spacing w:before="100" w:beforeAutospacing="1" w:after="100" w:afterAutospacing="1" w:line="480" w:lineRule="auto"/>
        <w:ind w:firstLine="720"/>
        <w:jc w:val="both"/>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Having put across the general impact that comes alongside increasing debt in the afore statements, the impact of the following case scenarios will be specific and to the point. For this comparison, it is important to note that the amount of the debt remains the same. The only difference comes in the debt servicing since the interest rates are different. Scenario B had low interest expenses as opposed to scenario C as shown in the excel appendix. The taxable incomes for scenario B were 1,262,500 and 1,025,000 SAR whereas for scenario C, the taxable income is significantly reduced; 1,187,500 and 875,000 respectively. This taxable income is reduced by the huge interest expenses that the company would make to the service debts (</w:t>
      </w:r>
      <w:r w:rsidRPr="004A6898">
        <w:rPr>
          <w:rFonts w:ascii="Times New Roman" w:hAnsi="Times New Roman" w:cs="Times New Roman"/>
          <w:sz w:val="24"/>
          <w:szCs w:val="24"/>
          <w:shd w:val="clear" w:color="auto" w:fill="FFFFFF"/>
        </w:rPr>
        <w:t>Ferrari, Masetti, &amp; Ren, 2018).</w:t>
      </w:r>
    </w:p>
    <w:p w:rsidR="00FA6272" w:rsidRPr="004A6898" w:rsidRDefault="00FA6272" w:rsidP="004A6898">
      <w:pPr>
        <w:numPr>
          <w:ilvl w:val="0"/>
          <w:numId w:val="2"/>
        </w:numPr>
        <w:spacing w:before="100" w:beforeAutospacing="1" w:after="100" w:afterAutospacing="1" w:line="480" w:lineRule="auto"/>
        <w:ind w:left="720" w:hanging="360"/>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What impact does the higher interest rate have on the net income?</w:t>
      </w:r>
    </w:p>
    <w:p w:rsidR="00FA6272" w:rsidRPr="004A6898" w:rsidRDefault="00FA6272" w:rsidP="00131AEE">
      <w:pPr>
        <w:spacing w:before="100" w:beforeAutospacing="1" w:after="100" w:afterAutospacing="1" w:line="480" w:lineRule="auto"/>
        <w:ind w:firstLine="720"/>
        <w:jc w:val="both"/>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 xml:space="preserve">Higher interest rate as the one presented in the scenario C directly reduces on the possible net income amount. This interest rate is simply means an increased expense that is directly subtracted from the company’s earnings. The net income, however, will be better off at the end of the day compared to that of lesser interest rates because of the tax amount difference. </w:t>
      </w:r>
    </w:p>
    <w:p w:rsidR="00FA6272" w:rsidRPr="004A6898" w:rsidRDefault="00FA6272" w:rsidP="004A6898">
      <w:pPr>
        <w:numPr>
          <w:ilvl w:val="0"/>
          <w:numId w:val="2"/>
        </w:numPr>
        <w:spacing w:before="100" w:beforeAutospacing="1" w:after="100" w:afterAutospacing="1" w:line="480" w:lineRule="auto"/>
        <w:ind w:left="720" w:hanging="360"/>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What impact does the higher interest rate have on the dollar return to investors?</w:t>
      </w:r>
    </w:p>
    <w:p w:rsidR="004A6898" w:rsidRPr="00E47B4B" w:rsidRDefault="00FA6272" w:rsidP="00E47B4B">
      <w:pPr>
        <w:spacing w:before="100" w:beforeAutospacing="1" w:after="100" w:afterAutospacing="1" w:line="480" w:lineRule="auto"/>
        <w:ind w:firstLine="720"/>
        <w:jc w:val="both"/>
        <w:rPr>
          <w:rFonts w:ascii="Times New Roman" w:eastAsia="Times New Roman" w:hAnsi="Times New Roman" w:cs="Times New Roman"/>
          <w:sz w:val="24"/>
          <w:szCs w:val="24"/>
        </w:rPr>
      </w:pPr>
      <w:r w:rsidRPr="004A6898">
        <w:rPr>
          <w:rFonts w:ascii="Times New Roman" w:eastAsia="Times New Roman" w:hAnsi="Times New Roman" w:cs="Times New Roman"/>
          <w:sz w:val="24"/>
          <w:szCs w:val="24"/>
        </w:rPr>
        <w:t>Increased debt raises a company's leverage factor. Leverage produces exponential profit returns during normal or boom periods. Leverage can also result in exponential losses during a recession. Because of the sensitivity of leverage to current economic conditions, a heavy debt burden presents danger. Increased debt boosts ROE during boom times but decreases it during downturns (</w:t>
      </w:r>
      <w:r w:rsidRPr="004A6898">
        <w:rPr>
          <w:rFonts w:ascii="Times New Roman" w:hAnsi="Times New Roman" w:cs="Times New Roman"/>
          <w:sz w:val="24"/>
          <w:szCs w:val="24"/>
          <w:shd w:val="clear" w:color="auto" w:fill="FFFFFF"/>
        </w:rPr>
        <w:t>Harelimana, 2017)</w:t>
      </w:r>
      <w:r w:rsidRPr="004A6898">
        <w:rPr>
          <w:rFonts w:ascii="Times New Roman" w:eastAsia="Times New Roman" w:hAnsi="Times New Roman" w:cs="Times New Roman"/>
          <w:sz w:val="24"/>
          <w:szCs w:val="24"/>
        </w:rPr>
        <w:t xml:space="preserve">. Higher interest rates increases the dollar return to investments and it also increases the dollar value of the company’s stocks. This would mean that more investors can be attracted.  </w:t>
      </w:r>
    </w:p>
    <w:p w:rsidR="004A6898" w:rsidRPr="004A6898" w:rsidRDefault="004A6898" w:rsidP="004A6898">
      <w:pPr>
        <w:spacing w:before="100" w:beforeAutospacing="1" w:after="100" w:afterAutospacing="1" w:line="480" w:lineRule="auto"/>
        <w:rPr>
          <w:rFonts w:ascii="Times New Roman" w:eastAsia="Times New Roman" w:hAnsi="Times New Roman" w:cs="Times New Roman"/>
          <w:color w:val="000000"/>
          <w:sz w:val="24"/>
          <w:szCs w:val="24"/>
        </w:rPr>
      </w:pPr>
      <w:r w:rsidRPr="004A6898">
        <w:rPr>
          <w:rFonts w:ascii="Times New Roman" w:eastAsia="Times New Roman" w:hAnsi="Times New Roman" w:cs="Times New Roman"/>
          <w:color w:val="000000"/>
          <w:sz w:val="24"/>
          <w:szCs w:val="24"/>
        </w:rPr>
        <w:t>Based upon those calculations answer the following questions: </w:t>
      </w:r>
    </w:p>
    <w:p w:rsidR="004A6898" w:rsidRPr="004A6898" w:rsidRDefault="004A6898" w:rsidP="004A6898">
      <w:pPr>
        <w:numPr>
          <w:ilvl w:val="0"/>
          <w:numId w:val="3"/>
        </w:numPr>
        <w:spacing w:before="100" w:beforeAutospacing="1" w:after="100" w:afterAutospacing="1" w:line="480" w:lineRule="auto"/>
        <w:rPr>
          <w:rFonts w:ascii="Times New Roman" w:eastAsia="Times New Roman" w:hAnsi="Times New Roman" w:cs="Times New Roman"/>
          <w:color w:val="000000"/>
          <w:sz w:val="24"/>
          <w:szCs w:val="24"/>
        </w:rPr>
      </w:pPr>
      <w:r w:rsidRPr="004A6898">
        <w:rPr>
          <w:rFonts w:ascii="Times New Roman" w:eastAsia="Times New Roman" w:hAnsi="Times New Roman" w:cs="Times New Roman"/>
          <w:color w:val="000000"/>
          <w:sz w:val="24"/>
          <w:szCs w:val="24"/>
        </w:rPr>
        <w:t>Does the increased leverage offer the potential of an increased ROE?</w:t>
      </w:r>
    </w:p>
    <w:p w:rsidR="004A6898" w:rsidRPr="004A6898" w:rsidRDefault="004A6898" w:rsidP="008D064A">
      <w:pPr>
        <w:spacing w:before="100" w:beforeAutospacing="1" w:after="100" w:afterAutospacing="1" w:line="480" w:lineRule="auto"/>
        <w:ind w:firstLine="360"/>
        <w:jc w:val="both"/>
        <w:rPr>
          <w:rFonts w:ascii="Times New Roman" w:eastAsia="Times New Roman" w:hAnsi="Times New Roman" w:cs="Times New Roman"/>
          <w:color w:val="000000"/>
          <w:sz w:val="24"/>
          <w:szCs w:val="24"/>
        </w:rPr>
      </w:pPr>
      <w:r w:rsidRPr="004A6898">
        <w:rPr>
          <w:rFonts w:ascii="Times New Roman" w:eastAsia="Times New Roman" w:hAnsi="Times New Roman" w:cs="Times New Roman"/>
          <w:color w:val="000000"/>
          <w:sz w:val="24"/>
          <w:szCs w:val="24"/>
        </w:rPr>
        <w:t>Yes. Increased debt raises a company's leverage factor. Leverage produces exponential profit returns during normal or boom periods. Leverage can also result in exponential losses during a recession. Because of the sensitivity of leverage to current economic conditions, a heavy debt burden presents danger (</w:t>
      </w:r>
      <w:r w:rsidRPr="004A6898">
        <w:rPr>
          <w:rFonts w:ascii="Times New Roman" w:hAnsi="Times New Roman" w:cs="Times New Roman"/>
          <w:color w:val="222222"/>
          <w:sz w:val="24"/>
          <w:szCs w:val="24"/>
          <w:shd w:val="clear" w:color="auto" w:fill="FFFFFF"/>
        </w:rPr>
        <w:t>Harelimana, 2017)</w:t>
      </w:r>
      <w:r w:rsidRPr="004A6898">
        <w:rPr>
          <w:rFonts w:ascii="Times New Roman" w:eastAsia="Times New Roman" w:hAnsi="Times New Roman" w:cs="Times New Roman"/>
          <w:color w:val="000000"/>
          <w:sz w:val="24"/>
          <w:szCs w:val="24"/>
        </w:rPr>
        <w:t xml:space="preserve">. It is clear in the calculations. </w:t>
      </w:r>
    </w:p>
    <w:p w:rsidR="004A6898" w:rsidRPr="004A6898" w:rsidRDefault="004A6898" w:rsidP="004A6898">
      <w:pPr>
        <w:numPr>
          <w:ilvl w:val="0"/>
          <w:numId w:val="3"/>
        </w:numPr>
        <w:spacing w:before="100" w:beforeAutospacing="1" w:after="100" w:afterAutospacing="1" w:line="480" w:lineRule="auto"/>
        <w:ind w:left="720" w:hanging="360"/>
        <w:rPr>
          <w:rFonts w:ascii="Times New Roman" w:eastAsia="Times New Roman" w:hAnsi="Times New Roman" w:cs="Times New Roman"/>
          <w:color w:val="000000"/>
          <w:sz w:val="24"/>
          <w:szCs w:val="24"/>
        </w:rPr>
      </w:pPr>
      <w:r w:rsidRPr="004A6898">
        <w:rPr>
          <w:rFonts w:ascii="Times New Roman" w:eastAsia="Times New Roman" w:hAnsi="Times New Roman" w:cs="Times New Roman"/>
          <w:color w:val="000000"/>
          <w:sz w:val="24"/>
          <w:szCs w:val="24"/>
        </w:rPr>
        <w:t>What impact does the increased leverage have on the risk to stock holders?</w:t>
      </w:r>
    </w:p>
    <w:p w:rsidR="004A6898" w:rsidRPr="004A6898" w:rsidRDefault="004A6898" w:rsidP="00131AEE">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4A6898">
        <w:rPr>
          <w:rFonts w:ascii="Times New Roman" w:eastAsia="Times New Roman" w:hAnsi="Times New Roman" w:cs="Times New Roman"/>
          <w:color w:val="000000"/>
          <w:sz w:val="24"/>
          <w:szCs w:val="24"/>
        </w:rPr>
        <w:t xml:space="preserve">Increased leverage gives the stockholders some belief that the company will outperform its set targets. This is to say that investors’ risk is significantly reduced. </w:t>
      </w:r>
    </w:p>
    <w:p w:rsidR="004A6898" w:rsidRPr="004A6898" w:rsidRDefault="004A6898" w:rsidP="004A6898">
      <w:pPr>
        <w:numPr>
          <w:ilvl w:val="0"/>
          <w:numId w:val="3"/>
        </w:numPr>
        <w:spacing w:before="100" w:beforeAutospacing="1" w:after="100" w:afterAutospacing="1" w:line="480" w:lineRule="auto"/>
        <w:ind w:left="720" w:hanging="360"/>
        <w:rPr>
          <w:rFonts w:ascii="Times New Roman" w:eastAsia="Times New Roman" w:hAnsi="Times New Roman" w:cs="Times New Roman"/>
          <w:color w:val="000000"/>
          <w:sz w:val="24"/>
          <w:szCs w:val="24"/>
        </w:rPr>
      </w:pPr>
      <w:r w:rsidRPr="004A6898">
        <w:rPr>
          <w:rFonts w:ascii="Times New Roman" w:eastAsia="Times New Roman" w:hAnsi="Times New Roman" w:cs="Times New Roman"/>
          <w:color w:val="000000"/>
          <w:sz w:val="24"/>
          <w:szCs w:val="24"/>
        </w:rPr>
        <w:t>Is it always a good idea to use debt financing?</w:t>
      </w:r>
    </w:p>
    <w:p w:rsidR="00E746B3" w:rsidRDefault="004A6898" w:rsidP="00131AEE">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4A6898">
        <w:rPr>
          <w:rFonts w:ascii="Times New Roman" w:eastAsia="Times New Roman" w:hAnsi="Times New Roman" w:cs="Times New Roman"/>
          <w:color w:val="000000"/>
          <w:sz w:val="24"/>
          <w:szCs w:val="24"/>
        </w:rPr>
        <w:t xml:space="preserve">Debt financing is a good decision for a company. </w:t>
      </w:r>
      <w:r w:rsidRPr="004A6898">
        <w:rPr>
          <w:rFonts w:ascii="Times New Roman" w:hAnsi="Times New Roman" w:cs="Times New Roman"/>
          <w:color w:val="222222"/>
          <w:sz w:val="24"/>
          <w:szCs w:val="24"/>
          <w:shd w:val="clear" w:color="auto" w:fill="FFFFFF"/>
        </w:rPr>
        <w:t>Wang &amp; Lin (2013)</w:t>
      </w:r>
      <w:r w:rsidRPr="004A6898">
        <w:rPr>
          <w:rFonts w:ascii="Times New Roman" w:eastAsia="Times New Roman" w:hAnsi="Times New Roman" w:cs="Times New Roman"/>
          <w:color w:val="000000"/>
          <w:sz w:val="24"/>
          <w:szCs w:val="24"/>
        </w:rPr>
        <w:t xml:space="preserve"> highlight that debt financing increases the company’s shareholdings considering that the company will, in the long run, pay for the debt through annual interests. It means the company will make money using these debt finances and that increases the worth of the company. At some point, the company will fully service its debt and its shareholdings will increase by the amount of the debt. Debt financing prevents the company from diluting its stockholders’ ownership percentage – it is literally saying that debt financing offers the company a good credit profile. When shareholders take up their finances to fund the company, they assume a larger risk and the firm is likely to be more conservative. In debt financing, the creditor assumes the risk. When earnings are increased as a result of the debt, there is an exponential return on shareholder investment (</w:t>
      </w:r>
      <w:r w:rsidRPr="004A6898">
        <w:rPr>
          <w:rFonts w:ascii="Times New Roman" w:hAnsi="Times New Roman" w:cs="Times New Roman"/>
          <w:color w:val="222222"/>
          <w:sz w:val="24"/>
          <w:szCs w:val="24"/>
          <w:shd w:val="clear" w:color="auto" w:fill="FFFFFF"/>
        </w:rPr>
        <w:t>Wang &amp; Lin</w:t>
      </w:r>
      <w:r w:rsidRPr="004A6898">
        <w:rPr>
          <w:rFonts w:ascii="Times New Roman" w:eastAsia="Times New Roman" w:hAnsi="Times New Roman" w:cs="Times New Roman"/>
          <w:color w:val="000000"/>
          <w:sz w:val="24"/>
          <w:szCs w:val="24"/>
        </w:rPr>
        <w:t xml:space="preserve">, 2013). </w:t>
      </w:r>
    </w:p>
    <w:p w:rsidR="004A6898" w:rsidRPr="004A6898" w:rsidRDefault="008D064A" w:rsidP="00E746B3">
      <w:pPr>
        <w:spacing w:before="100" w:beforeAutospacing="1" w:after="100" w:afterAutospacing="1" w:line="480" w:lineRule="auto"/>
        <w:ind w:firstLine="36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w:t>
      </w:r>
      <w:r w:rsidR="004A6898" w:rsidRPr="004A6898">
        <w:rPr>
          <w:rFonts w:ascii="Times New Roman" w:eastAsia="Times New Roman" w:hAnsi="Times New Roman" w:cs="Times New Roman"/>
          <w:color w:val="000000"/>
          <w:sz w:val="24"/>
          <w:szCs w:val="24"/>
        </w:rPr>
        <w:t>ecommendations</w:t>
      </w:r>
    </w:p>
    <w:p w:rsidR="004A6898" w:rsidRPr="004A6898" w:rsidRDefault="004A6898" w:rsidP="00E746B3">
      <w:pPr>
        <w:spacing w:before="100" w:beforeAutospacing="1" w:after="100" w:afterAutospacing="1" w:line="480" w:lineRule="auto"/>
        <w:jc w:val="both"/>
        <w:rPr>
          <w:rFonts w:ascii="Times New Roman" w:eastAsia="Times New Roman" w:hAnsi="Times New Roman" w:cs="Times New Roman"/>
          <w:color w:val="000000"/>
          <w:sz w:val="24"/>
          <w:szCs w:val="24"/>
        </w:rPr>
      </w:pPr>
      <w:r w:rsidRPr="004A6898">
        <w:rPr>
          <w:rFonts w:ascii="Times New Roman" w:eastAsia="Times New Roman" w:hAnsi="Times New Roman" w:cs="Times New Roman"/>
          <w:color w:val="000000"/>
          <w:sz w:val="24"/>
          <w:szCs w:val="24"/>
        </w:rPr>
        <w:tab/>
        <w:t xml:space="preserve">The global healthcare sector has been profiting even in the event of the pandemic. Organizations that have had a strict strategy and adequate financing really outperformed those that lacked these. As a healthcare organization in the KSA, it is very significant to have access to funds to support operations that bring fold to its growth. Presented with the above scenarios, it is preferably recommendable that scenario C is considered. With a debt finance of 5 million SAR, an interest rate of 12.5%, the company will return the highest income (1,303,125 SAR). The choice has the hugest debt amount and its interest rate is as well high but the return that it makes is larger than all of the other options. The no debt scenario is literally risking the capital of the shareholders. Taking a debt that is lower than the 5 million SAR will attract interest expenses that are high in the long run. The return on equity is also the highest at scenario C. Scenario C presents the best opportunity for the company to grow its worth in the industry. </w:t>
      </w: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206F45" w:rsidRDefault="00206F45" w:rsidP="004A6898">
      <w:pPr>
        <w:spacing w:before="100" w:beforeAutospacing="1" w:after="100" w:afterAutospacing="1" w:line="480" w:lineRule="auto"/>
        <w:jc w:val="center"/>
        <w:rPr>
          <w:rFonts w:ascii="Times New Roman" w:hAnsi="Times New Roman" w:cs="Times New Roman"/>
          <w:sz w:val="24"/>
          <w:szCs w:val="24"/>
        </w:rPr>
      </w:pPr>
    </w:p>
    <w:p w:rsidR="004A6898" w:rsidRPr="004A6898" w:rsidRDefault="004A6898" w:rsidP="004A6898">
      <w:pPr>
        <w:spacing w:before="100" w:beforeAutospacing="1" w:after="100" w:afterAutospacing="1" w:line="480" w:lineRule="auto"/>
        <w:jc w:val="center"/>
        <w:rPr>
          <w:rFonts w:ascii="Times New Roman" w:hAnsi="Times New Roman" w:cs="Times New Roman"/>
          <w:sz w:val="24"/>
          <w:szCs w:val="24"/>
        </w:rPr>
      </w:pPr>
      <w:r w:rsidRPr="004A6898">
        <w:rPr>
          <w:rFonts w:ascii="Times New Roman" w:hAnsi="Times New Roman" w:cs="Times New Roman"/>
          <w:sz w:val="24"/>
          <w:szCs w:val="24"/>
        </w:rPr>
        <w:t>References</w:t>
      </w:r>
    </w:p>
    <w:p w:rsidR="004A6898" w:rsidRPr="004A6898" w:rsidRDefault="004A6898" w:rsidP="00131AEE">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A6898">
        <w:rPr>
          <w:rFonts w:ascii="Times New Roman" w:hAnsi="Times New Roman" w:cs="Times New Roman"/>
          <w:color w:val="222222"/>
          <w:sz w:val="24"/>
          <w:szCs w:val="24"/>
          <w:shd w:val="clear" w:color="auto" w:fill="FFFFFF"/>
        </w:rPr>
        <w:t>Ferrari, A., Masetti, O., &amp; Ren, J. (2018). Interest rate caps: the theory and the practice. </w:t>
      </w:r>
      <w:r w:rsidRPr="004A6898">
        <w:rPr>
          <w:rFonts w:ascii="Times New Roman" w:hAnsi="Times New Roman" w:cs="Times New Roman"/>
          <w:i/>
          <w:iCs/>
          <w:color w:val="222222"/>
          <w:sz w:val="24"/>
          <w:szCs w:val="24"/>
          <w:shd w:val="clear" w:color="auto" w:fill="FFFFFF"/>
        </w:rPr>
        <w:t>World Bank Policy Research Working Paper</w:t>
      </w:r>
      <w:r w:rsidRPr="004A6898">
        <w:rPr>
          <w:rFonts w:ascii="Times New Roman" w:hAnsi="Times New Roman" w:cs="Times New Roman"/>
          <w:color w:val="222222"/>
          <w:sz w:val="24"/>
          <w:szCs w:val="24"/>
          <w:shd w:val="clear" w:color="auto" w:fill="FFFFFF"/>
        </w:rPr>
        <w:t xml:space="preserve">, (8398). </w:t>
      </w:r>
    </w:p>
    <w:p w:rsidR="004A6898" w:rsidRPr="004A6898" w:rsidRDefault="004A6898" w:rsidP="00131AEE">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A6898">
        <w:rPr>
          <w:rFonts w:ascii="Times New Roman" w:hAnsi="Times New Roman" w:cs="Times New Roman"/>
          <w:color w:val="222222"/>
          <w:sz w:val="24"/>
          <w:szCs w:val="24"/>
          <w:shd w:val="clear" w:color="auto" w:fill="FFFFFF"/>
        </w:rPr>
        <w:t>Harelimana, J. B. (2017). Effect of debt financing on business performance: A comparative study between I&amp;M Bank and Bank of Kigali, Rwanda. </w:t>
      </w:r>
      <w:r w:rsidRPr="004A6898">
        <w:rPr>
          <w:rFonts w:ascii="Times New Roman" w:hAnsi="Times New Roman" w:cs="Times New Roman"/>
          <w:i/>
          <w:iCs/>
          <w:color w:val="222222"/>
          <w:sz w:val="24"/>
          <w:szCs w:val="24"/>
          <w:shd w:val="clear" w:color="auto" w:fill="FFFFFF"/>
        </w:rPr>
        <w:t>Global Journal of Management and Business Research</w:t>
      </w:r>
      <w:r w:rsidRPr="004A6898">
        <w:rPr>
          <w:rFonts w:ascii="Times New Roman" w:hAnsi="Times New Roman" w:cs="Times New Roman"/>
          <w:color w:val="222222"/>
          <w:sz w:val="24"/>
          <w:szCs w:val="24"/>
          <w:shd w:val="clear" w:color="auto" w:fill="FFFFFF"/>
        </w:rPr>
        <w:t xml:space="preserve">. </w:t>
      </w:r>
    </w:p>
    <w:p w:rsidR="004A6898" w:rsidRPr="004A6898" w:rsidRDefault="004A6898" w:rsidP="00131AEE">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4A6898">
        <w:rPr>
          <w:rFonts w:ascii="Times New Roman" w:hAnsi="Times New Roman" w:cs="Times New Roman"/>
          <w:color w:val="222222"/>
          <w:sz w:val="24"/>
          <w:szCs w:val="24"/>
          <w:shd w:val="clear" w:color="auto" w:fill="FFFFFF"/>
        </w:rPr>
        <w:t>Molly, V., Uhlaner, L. M., De Massis, A., &amp; Laveren, E. (2019). Family-centered goals, family board representation, and debt financing. </w:t>
      </w:r>
      <w:r w:rsidRPr="004A6898">
        <w:rPr>
          <w:rFonts w:ascii="Times New Roman" w:hAnsi="Times New Roman" w:cs="Times New Roman"/>
          <w:i/>
          <w:iCs/>
          <w:color w:val="222222"/>
          <w:sz w:val="24"/>
          <w:szCs w:val="24"/>
          <w:shd w:val="clear" w:color="auto" w:fill="FFFFFF"/>
        </w:rPr>
        <w:t>Small Business Economics</w:t>
      </w:r>
      <w:r w:rsidRPr="004A6898">
        <w:rPr>
          <w:rFonts w:ascii="Times New Roman" w:hAnsi="Times New Roman" w:cs="Times New Roman"/>
          <w:color w:val="222222"/>
          <w:sz w:val="24"/>
          <w:szCs w:val="24"/>
          <w:shd w:val="clear" w:color="auto" w:fill="FFFFFF"/>
        </w:rPr>
        <w:t>, </w:t>
      </w:r>
      <w:r w:rsidRPr="004A6898">
        <w:rPr>
          <w:rFonts w:ascii="Times New Roman" w:hAnsi="Times New Roman" w:cs="Times New Roman"/>
          <w:i/>
          <w:iCs/>
          <w:color w:val="222222"/>
          <w:sz w:val="24"/>
          <w:szCs w:val="24"/>
          <w:shd w:val="clear" w:color="auto" w:fill="FFFFFF"/>
        </w:rPr>
        <w:t>53</w:t>
      </w:r>
      <w:r w:rsidRPr="004A6898">
        <w:rPr>
          <w:rFonts w:ascii="Times New Roman" w:hAnsi="Times New Roman" w:cs="Times New Roman"/>
          <w:color w:val="222222"/>
          <w:sz w:val="24"/>
          <w:szCs w:val="24"/>
          <w:shd w:val="clear" w:color="auto" w:fill="FFFFFF"/>
        </w:rPr>
        <w:t>(1), 269-286.</w:t>
      </w:r>
    </w:p>
    <w:p w:rsidR="004A6898" w:rsidRPr="004A6898" w:rsidRDefault="004A6898" w:rsidP="00131AEE">
      <w:pPr>
        <w:spacing w:before="100" w:beforeAutospacing="1" w:after="100" w:afterAutospacing="1" w:line="480" w:lineRule="auto"/>
        <w:ind w:left="720" w:hanging="720"/>
        <w:rPr>
          <w:rFonts w:ascii="Times New Roman" w:hAnsi="Times New Roman" w:cs="Times New Roman"/>
          <w:sz w:val="24"/>
          <w:szCs w:val="24"/>
        </w:rPr>
      </w:pPr>
      <w:r w:rsidRPr="004A6898">
        <w:rPr>
          <w:rFonts w:ascii="Times New Roman" w:hAnsi="Times New Roman" w:cs="Times New Roman"/>
          <w:color w:val="222222"/>
          <w:sz w:val="24"/>
          <w:szCs w:val="24"/>
          <w:shd w:val="clear" w:color="auto" w:fill="FFFFFF"/>
        </w:rPr>
        <w:t>Wang, H. D., &amp; Lin, C. J. (2013). Debt financing and earnings management: An internal capital market perspective. </w:t>
      </w:r>
      <w:r w:rsidRPr="004A6898">
        <w:rPr>
          <w:rFonts w:ascii="Times New Roman" w:hAnsi="Times New Roman" w:cs="Times New Roman"/>
          <w:i/>
          <w:iCs/>
          <w:color w:val="222222"/>
          <w:sz w:val="24"/>
          <w:szCs w:val="24"/>
          <w:shd w:val="clear" w:color="auto" w:fill="FFFFFF"/>
        </w:rPr>
        <w:t>Journal of Business Finance &amp; Accounting</w:t>
      </w:r>
      <w:r w:rsidRPr="004A6898">
        <w:rPr>
          <w:rFonts w:ascii="Times New Roman" w:hAnsi="Times New Roman" w:cs="Times New Roman"/>
          <w:color w:val="222222"/>
          <w:sz w:val="24"/>
          <w:szCs w:val="24"/>
          <w:shd w:val="clear" w:color="auto" w:fill="FFFFFF"/>
        </w:rPr>
        <w:t>, </w:t>
      </w:r>
      <w:r w:rsidRPr="004A6898">
        <w:rPr>
          <w:rFonts w:ascii="Times New Roman" w:hAnsi="Times New Roman" w:cs="Times New Roman"/>
          <w:i/>
          <w:iCs/>
          <w:color w:val="222222"/>
          <w:sz w:val="24"/>
          <w:szCs w:val="24"/>
          <w:shd w:val="clear" w:color="auto" w:fill="FFFFFF"/>
        </w:rPr>
        <w:t>40</w:t>
      </w:r>
      <w:r w:rsidRPr="004A6898">
        <w:rPr>
          <w:rFonts w:ascii="Times New Roman" w:hAnsi="Times New Roman" w:cs="Times New Roman"/>
          <w:color w:val="222222"/>
          <w:sz w:val="24"/>
          <w:szCs w:val="24"/>
          <w:shd w:val="clear" w:color="auto" w:fill="FFFFFF"/>
        </w:rPr>
        <w:t>(7-8), 842-868.</w:t>
      </w:r>
    </w:p>
    <w:p w:rsidR="004A6898" w:rsidRDefault="004A6898" w:rsidP="004A6898">
      <w:pPr>
        <w:spacing w:before="100" w:beforeAutospacing="1" w:after="100" w:afterAutospacing="1" w:line="480" w:lineRule="auto"/>
        <w:rPr>
          <w:rFonts w:ascii="Times New Roman" w:eastAsia="Times New Roman" w:hAnsi="Times New Roman" w:cs="Times New Roman"/>
          <w:bCs/>
          <w:color w:val="000000"/>
          <w:sz w:val="24"/>
          <w:szCs w:val="24"/>
          <w:bdr w:val="none" w:sz="0" w:space="0" w:color="auto" w:frame="1"/>
        </w:rPr>
      </w:pPr>
    </w:p>
    <w:p w:rsidR="00206F45" w:rsidRDefault="00206F45" w:rsidP="004A6898">
      <w:pPr>
        <w:spacing w:before="100" w:beforeAutospacing="1" w:after="100" w:afterAutospacing="1" w:line="480" w:lineRule="auto"/>
        <w:rPr>
          <w:rFonts w:ascii="Times New Roman" w:eastAsia="Times New Roman" w:hAnsi="Times New Roman" w:cs="Times New Roman"/>
          <w:bCs/>
          <w:color w:val="000000"/>
          <w:sz w:val="24"/>
          <w:szCs w:val="24"/>
          <w:bdr w:val="none" w:sz="0" w:space="0" w:color="auto" w:frame="1"/>
        </w:rPr>
      </w:pPr>
    </w:p>
    <w:p w:rsidR="00206F45" w:rsidRDefault="00206F45" w:rsidP="004A6898">
      <w:pPr>
        <w:spacing w:before="100" w:beforeAutospacing="1" w:after="100" w:afterAutospacing="1" w:line="480" w:lineRule="auto"/>
        <w:rPr>
          <w:rFonts w:ascii="Times New Roman" w:eastAsia="Times New Roman" w:hAnsi="Times New Roman" w:cs="Times New Roman"/>
          <w:bCs/>
          <w:color w:val="000000"/>
          <w:sz w:val="24"/>
          <w:szCs w:val="24"/>
          <w:bdr w:val="none" w:sz="0" w:space="0" w:color="auto" w:frame="1"/>
        </w:rPr>
      </w:pPr>
    </w:p>
    <w:p w:rsidR="00206F45" w:rsidRDefault="00206F45" w:rsidP="004A6898">
      <w:pPr>
        <w:spacing w:before="100" w:beforeAutospacing="1" w:after="100" w:afterAutospacing="1" w:line="480" w:lineRule="auto"/>
        <w:rPr>
          <w:rFonts w:ascii="Times New Roman" w:eastAsia="Times New Roman" w:hAnsi="Times New Roman" w:cs="Times New Roman"/>
          <w:bCs/>
          <w:color w:val="000000"/>
          <w:sz w:val="24"/>
          <w:szCs w:val="24"/>
          <w:bdr w:val="none" w:sz="0" w:space="0" w:color="auto" w:frame="1"/>
        </w:rPr>
      </w:pPr>
    </w:p>
    <w:p w:rsidR="00206F45" w:rsidRDefault="00206F45" w:rsidP="004A6898">
      <w:pPr>
        <w:spacing w:before="100" w:beforeAutospacing="1" w:after="100" w:afterAutospacing="1" w:line="480" w:lineRule="auto"/>
        <w:rPr>
          <w:rFonts w:ascii="Times New Roman" w:eastAsia="Times New Roman" w:hAnsi="Times New Roman" w:cs="Times New Roman"/>
          <w:bCs/>
          <w:color w:val="000000"/>
          <w:sz w:val="24"/>
          <w:szCs w:val="24"/>
          <w:bdr w:val="none" w:sz="0" w:space="0" w:color="auto" w:frame="1"/>
        </w:rPr>
      </w:pPr>
    </w:p>
    <w:p w:rsidR="00206F45" w:rsidRDefault="00206F45" w:rsidP="004A6898">
      <w:pPr>
        <w:spacing w:before="100" w:beforeAutospacing="1" w:after="100" w:afterAutospacing="1" w:line="480" w:lineRule="auto"/>
        <w:rPr>
          <w:rFonts w:ascii="Times New Roman" w:eastAsia="Times New Roman" w:hAnsi="Times New Roman" w:cs="Times New Roman"/>
          <w:bCs/>
          <w:color w:val="000000"/>
          <w:sz w:val="24"/>
          <w:szCs w:val="24"/>
          <w:bdr w:val="none" w:sz="0" w:space="0" w:color="auto" w:frame="1"/>
        </w:rPr>
      </w:pPr>
    </w:p>
    <w:p w:rsidR="00206F45" w:rsidRDefault="00206F45" w:rsidP="004A6898">
      <w:pPr>
        <w:spacing w:before="100" w:beforeAutospacing="1" w:after="100" w:afterAutospacing="1" w:line="480" w:lineRule="auto"/>
        <w:rPr>
          <w:rFonts w:ascii="Times New Roman" w:eastAsia="Times New Roman" w:hAnsi="Times New Roman" w:cs="Times New Roman"/>
          <w:bCs/>
          <w:color w:val="000000"/>
          <w:sz w:val="24"/>
          <w:szCs w:val="24"/>
          <w:bdr w:val="none" w:sz="0" w:space="0" w:color="auto" w:frame="1"/>
        </w:rPr>
      </w:pPr>
    </w:p>
    <w:p w:rsidR="00206F45" w:rsidRDefault="00206F45" w:rsidP="00206F45">
      <w:pPr>
        <w:spacing w:before="100" w:beforeAutospacing="1" w:after="100" w:afterAutospacing="1" w:line="480" w:lineRule="auto"/>
        <w:jc w:val="center"/>
        <w:rPr>
          <w:rFonts w:ascii="Times New Roman" w:eastAsia="Times New Roman" w:hAnsi="Times New Roman" w:cs="Times New Roman"/>
          <w:bCs/>
          <w:color w:val="000000"/>
          <w:sz w:val="24"/>
          <w:szCs w:val="24"/>
          <w:bdr w:val="none" w:sz="0" w:space="0" w:color="auto" w:frame="1"/>
        </w:rPr>
      </w:pPr>
      <w:r>
        <w:rPr>
          <w:rFonts w:ascii="Times New Roman" w:eastAsia="Times New Roman" w:hAnsi="Times New Roman" w:cs="Times New Roman"/>
          <w:bCs/>
          <w:color w:val="000000"/>
          <w:sz w:val="24"/>
          <w:szCs w:val="24"/>
          <w:bdr w:val="none" w:sz="0" w:space="0" w:color="auto" w:frame="1"/>
        </w:rPr>
        <w:t>Appendix</w:t>
      </w:r>
    </w:p>
    <w:p w:rsidR="00206F45" w:rsidRDefault="00206F45" w:rsidP="00206F45">
      <w:pPr>
        <w:spacing w:before="100" w:beforeAutospacing="1" w:after="100" w:afterAutospacing="1" w:line="480" w:lineRule="auto"/>
        <w:rPr>
          <w:rFonts w:ascii="Times New Roman" w:eastAsia="Times New Roman" w:hAnsi="Times New Roman" w:cs="Times New Roman"/>
          <w:bCs/>
          <w:color w:val="000000"/>
          <w:sz w:val="24"/>
          <w:szCs w:val="24"/>
          <w:bdr w:val="none" w:sz="0" w:space="0" w:color="auto" w:frame="1"/>
        </w:rPr>
      </w:pPr>
      <w:r>
        <w:rPr>
          <w:rFonts w:ascii="Times New Roman" w:eastAsia="Times New Roman" w:hAnsi="Times New Roman" w:cs="Times New Roman"/>
          <w:bCs/>
          <w:color w:val="000000"/>
          <w:sz w:val="24"/>
          <w:szCs w:val="24"/>
          <w:bdr w:val="none" w:sz="0" w:space="0" w:color="auto" w:frame="1"/>
        </w:rPr>
        <w:t xml:space="preserve">Excel calculations: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996"/>
        <w:gridCol w:w="556"/>
        <w:gridCol w:w="842"/>
        <w:gridCol w:w="1109"/>
        <w:gridCol w:w="1003"/>
        <w:gridCol w:w="644"/>
        <w:gridCol w:w="367"/>
        <w:gridCol w:w="1073"/>
        <w:gridCol w:w="1003"/>
        <w:gridCol w:w="541"/>
        <w:gridCol w:w="367"/>
      </w:tblGrid>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Scenario A</w:t>
            </w: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0 debt</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w:t>
            </w: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net income</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 Income</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337500</w:t>
            </w: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1162500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Scenario B</w:t>
            </w: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982"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Interest rate 9.5%</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982"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B1 increase debt to 2,500,000 SAR</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982"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B2 increase debt to 5,000,000 SAR</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interest</w:t>
            </w: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taxable income</w:t>
            </w: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 rate</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B1</w:t>
            </w: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237500</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1262500</w:t>
            </w: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22.50%</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284062.5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1215937.5</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B2</w:t>
            </w: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475000</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1025000</w:t>
            </w: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230625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1269375</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Scenario C</w:t>
            </w: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982" w:type="pct"/>
            <w:gridSpan w:val="2"/>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Interest rate 12.5%</w:t>
            </w: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982" w:type="pct"/>
            <w:gridSpan w:val="2"/>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B1 increase debt to 2,500,000 SAR</w:t>
            </w: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982" w:type="pct"/>
            <w:gridSpan w:val="2"/>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B2 increase debt to 5,000,000 SAR</w:t>
            </w: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interest</w:t>
            </w: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taxable income</w:t>
            </w: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 rate</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B1</w:t>
            </w: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312500</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1187500</w:t>
            </w: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22.50%</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267187.5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1232812.5</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B2</w:t>
            </w: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625000</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875000</w:t>
            </w: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196875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1303125</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446" w:type="pct"/>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Scenario D</w:t>
            </w: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446" w:type="pct"/>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Zero Debt</w:t>
            </w: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Assets</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7500000</w:t>
            </w: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446" w:type="pct"/>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Calculate:</w:t>
            </w: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04" w:type="pct"/>
            <w:gridSpan w:val="3"/>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r w:rsidRPr="00206F45">
              <w:rPr>
                <w:rFonts w:ascii="Calibri" w:eastAsia="Times New Roman" w:hAnsi="Calibri" w:cs="Calibri"/>
                <w:b/>
                <w:bCs/>
                <w:color w:val="000000"/>
              </w:rPr>
              <w:t>SCENARIO B</w:t>
            </w:r>
          </w:p>
        </w:tc>
        <w:tc>
          <w:tcPr>
            <w:tcW w:w="153" w:type="pct"/>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p>
        </w:tc>
        <w:tc>
          <w:tcPr>
            <w:tcW w:w="1502" w:type="pct"/>
            <w:gridSpan w:val="3"/>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r w:rsidRPr="00206F45">
              <w:rPr>
                <w:rFonts w:ascii="Calibri" w:eastAsia="Times New Roman" w:hAnsi="Calibri" w:cs="Calibri"/>
                <w:b/>
                <w:bCs/>
                <w:color w:val="000000"/>
              </w:rPr>
              <w:t>SCENARIO C</w:t>
            </w:r>
          </w:p>
        </w:tc>
        <w:tc>
          <w:tcPr>
            <w:tcW w:w="153" w:type="pct"/>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p>
        </w:tc>
      </w:tr>
      <w:tr w:rsidR="007F1A2B" w:rsidRPr="00206F45" w:rsidTr="007F1A2B">
        <w:trPr>
          <w:trHeight w:val="315"/>
        </w:trPr>
        <w:tc>
          <w:tcPr>
            <w:tcW w:w="1687" w:type="pct"/>
            <w:gridSpan w:val="4"/>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a.</w:t>
            </w:r>
            <w:r w:rsidRPr="00206F45">
              <w:rPr>
                <w:rFonts w:ascii="Times New Roman" w:eastAsia="Times New Roman" w:hAnsi="Times New Roman" w:cs="Times New Roman"/>
                <w:color w:val="000000"/>
                <w:sz w:val="14"/>
                <w:szCs w:val="14"/>
              </w:rPr>
              <w:t xml:space="preserve">                   </w:t>
            </w:r>
            <w:r w:rsidRPr="00206F45">
              <w:rPr>
                <w:rFonts w:ascii="Times New Roman" w:eastAsia="Times New Roman" w:hAnsi="Times New Roman" w:cs="Times New Roman"/>
                <w:color w:val="000000"/>
                <w:sz w:val="24"/>
                <w:szCs w:val="24"/>
              </w:rPr>
              <w:t>The expected net income for each probability</w:t>
            </w: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B1</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B2</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B1</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B2</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r>
      <w:tr w:rsidR="007F1A2B" w:rsidRPr="00206F45" w:rsidTr="007F1A2B">
        <w:trPr>
          <w:trHeight w:val="315"/>
        </w:trPr>
        <w:tc>
          <w:tcPr>
            <w:tcW w:w="446" w:type="pct"/>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b/>
                <w:bCs/>
                <w:color w:val="000000"/>
                <w:sz w:val="24"/>
                <w:szCs w:val="24"/>
              </w:rPr>
            </w:pPr>
            <w:r w:rsidRPr="00206F45">
              <w:rPr>
                <w:rFonts w:ascii="Times New Roman" w:eastAsia="Times New Roman" w:hAnsi="Times New Roman" w:cs="Times New Roman"/>
                <w:b/>
                <w:bCs/>
                <w:color w:val="000000"/>
                <w:sz w:val="24"/>
                <w:szCs w:val="24"/>
              </w:rPr>
              <w:t>Scenario A</w:t>
            </w: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0 debt</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Debt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2500000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5000000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Debt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2500000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5000000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Operating Income</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Operating Income</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Operating Income</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 rate </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 rate</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 rate</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Debt Expense </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Interest Rate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9.50%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9.50%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Interest Rate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12.50%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12.50%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Taxable income </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Interest Expense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237500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475000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Interest Expense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312500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625000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337500</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 </w:t>
            </w:r>
          </w:p>
        </w:tc>
        <w:tc>
          <w:tcPr>
            <w:tcW w:w="441"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Taxable Income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1262500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1025000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Taxable Income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1187500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875000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Net Inome =</w:t>
            </w:r>
          </w:p>
        </w:tc>
        <w:tc>
          <w:tcPr>
            <w:tcW w:w="705"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Income - Tax </w:t>
            </w: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284062.5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230625</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267187.5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196875</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1162500</w:t>
            </w:r>
          </w:p>
        </w:tc>
        <w:tc>
          <w:tcPr>
            <w:tcW w:w="441"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Net Income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978437.5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794375</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Net Income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920312.5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678125</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206F45" w:rsidRPr="00206F45" w:rsidTr="007F1A2B">
        <w:trPr>
          <w:trHeight w:val="315"/>
        </w:trPr>
        <w:tc>
          <w:tcPr>
            <w:tcW w:w="1687" w:type="pct"/>
            <w:gridSpan w:val="4"/>
            <w:shd w:val="clear" w:color="auto" w:fill="auto"/>
            <w:noWrap/>
            <w:vAlign w:val="center"/>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b. The expected dollar return to investors for each probability</w:t>
            </w:r>
          </w:p>
        </w:tc>
        <w:tc>
          <w:tcPr>
            <w:tcW w:w="1164" w:type="pct"/>
            <w:gridSpan w:val="2"/>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r w:rsidRPr="00206F45">
              <w:rPr>
                <w:rFonts w:ascii="Calibri" w:eastAsia="Times New Roman" w:hAnsi="Calibri" w:cs="Calibri"/>
                <w:b/>
                <w:bCs/>
                <w:color w:val="000000"/>
              </w:rPr>
              <w:t>Scenario B</w:t>
            </w:r>
          </w:p>
        </w:tc>
        <w:tc>
          <w:tcPr>
            <w:tcW w:w="340" w:type="pct"/>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162" w:type="pct"/>
            <w:gridSpan w:val="2"/>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r w:rsidRPr="00206F45">
              <w:rPr>
                <w:rFonts w:ascii="Calibri" w:eastAsia="Times New Roman" w:hAnsi="Calibri" w:cs="Calibri"/>
                <w:b/>
                <w:bCs/>
                <w:color w:val="000000"/>
              </w:rPr>
              <w:t>Scenario C</w:t>
            </w:r>
          </w:p>
        </w:tc>
        <w:tc>
          <w:tcPr>
            <w:tcW w:w="340" w:type="pct"/>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Scenario A</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 xml:space="preserve"> B1</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 xml:space="preserve"> B2</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B1</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 xml:space="preserve"> B2</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Net Income/Assets</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0.155</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0.130458333</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0.105916667</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0.122708333</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0.090416667</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1247" w:type="pct"/>
            <w:gridSpan w:val="3"/>
            <w:shd w:val="clear" w:color="auto" w:fill="auto"/>
            <w:noWrap/>
            <w:vAlign w:val="center"/>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c. The expected ROE for each probability</w:t>
            </w:r>
          </w:p>
        </w:tc>
        <w:tc>
          <w:tcPr>
            <w:tcW w:w="441" w:type="pct"/>
            <w:shd w:val="clear" w:color="auto" w:fill="auto"/>
            <w:noWrap/>
            <w:vAlign w:val="bottom"/>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162" w:type="pct"/>
            <w:gridSpan w:val="2"/>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r w:rsidRPr="00206F45">
              <w:rPr>
                <w:rFonts w:ascii="Calibri" w:eastAsia="Times New Roman" w:hAnsi="Calibri" w:cs="Calibri"/>
                <w:b/>
                <w:bCs/>
                <w:color w:val="000000"/>
              </w:rPr>
              <w:t>Scenario C</w:t>
            </w:r>
          </w:p>
        </w:tc>
        <w:tc>
          <w:tcPr>
            <w:tcW w:w="340" w:type="pct"/>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Scenario A</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Scenario B1</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Scenario B2</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 xml:space="preserve"> B1</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 xml:space="preserve"> B2</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801"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ROE = Net Income/Equity</w:t>
            </w:r>
          </w:p>
        </w:tc>
        <w:tc>
          <w:tcPr>
            <w:tcW w:w="441"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Assets = 7500000</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Assets = 7500000</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Assets = 7500000</w:t>
            </w:r>
          </w:p>
        </w:tc>
        <w:tc>
          <w:tcPr>
            <w:tcW w:w="899"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Assets = 7500000</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241" w:type="pct"/>
            <w:gridSpan w:val="3"/>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Equity = Total Assets - Total Liabilities </w:t>
            </w: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Equity = Assets - Debt</w:t>
            </w:r>
          </w:p>
        </w:tc>
        <w:tc>
          <w:tcPr>
            <w:tcW w:w="899"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Equity = Assets - Debt</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Equity = Assets - Debt</w:t>
            </w:r>
          </w:p>
        </w:tc>
        <w:tc>
          <w:tcPr>
            <w:tcW w:w="899"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Equity = Assets - Debt</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r>
      <w:tr w:rsidR="007F1A2B" w:rsidRPr="00206F45" w:rsidTr="007F1A2B">
        <w:trPr>
          <w:trHeight w:val="12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0.155</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ROE =1215937.5/(7500000-2500000)</w:t>
            </w:r>
          </w:p>
        </w:tc>
        <w:tc>
          <w:tcPr>
            <w:tcW w:w="559" w:type="pct"/>
            <w:shd w:val="clear" w:color="auto" w:fill="auto"/>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ROE =1269375/(7500000-5000000)</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ROE =1232812.5/(7500000-2500000)</w:t>
            </w:r>
          </w:p>
        </w:tc>
        <w:tc>
          <w:tcPr>
            <w:tcW w:w="559" w:type="pct"/>
            <w:shd w:val="clear" w:color="auto" w:fill="auto"/>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ROE =1303125/(7500000-5000000)</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bookmarkStart w:id="0" w:name="_GoBack"/>
        <w:bookmarkEnd w:id="0"/>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ROEs</w:t>
            </w: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0.155</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0.1956875</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0.31775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0.1840625</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0.27125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2292" w:type="pct"/>
            <w:gridSpan w:val="5"/>
            <w:shd w:val="clear" w:color="auto" w:fill="auto"/>
            <w:noWrap/>
            <w:vAlign w:val="center"/>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d. What the company can expect its net income to be given these probabilities</w:t>
            </w:r>
          </w:p>
        </w:tc>
        <w:tc>
          <w:tcPr>
            <w:tcW w:w="559" w:type="pct"/>
            <w:shd w:val="clear" w:color="auto" w:fill="auto"/>
            <w:noWrap/>
            <w:vAlign w:val="bottom"/>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Scenario A</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1162500</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206F45"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NB:</w:t>
            </w:r>
          </w:p>
        </w:tc>
        <w:tc>
          <w:tcPr>
            <w:tcW w:w="4061" w:type="pct"/>
            <w:gridSpan w:val="9"/>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These net incomes are expected to be more than these specific amounts since themoney in debt will bring other income flows to the company. </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206F45" w:rsidRPr="00206F45" w:rsidTr="007F1A2B">
        <w:trPr>
          <w:trHeight w:val="315"/>
        </w:trPr>
        <w:tc>
          <w:tcPr>
            <w:tcW w:w="2292" w:type="pct"/>
            <w:gridSpan w:val="5"/>
            <w:shd w:val="clear" w:color="auto" w:fill="auto"/>
            <w:noWrap/>
            <w:vAlign w:val="center"/>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e. What the company can expect dollar return to investors to be given these probabilities</w:t>
            </w:r>
          </w:p>
        </w:tc>
        <w:tc>
          <w:tcPr>
            <w:tcW w:w="559" w:type="pct"/>
            <w:shd w:val="clear" w:color="auto" w:fill="auto"/>
            <w:noWrap/>
            <w:vAlign w:val="bottom"/>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162" w:type="pct"/>
            <w:gridSpan w:val="2"/>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jc w:val="center"/>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Scenario A</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801"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Income/Assets + Debt</w:t>
            </w:r>
          </w:p>
        </w:tc>
        <w:tc>
          <w:tcPr>
            <w:tcW w:w="441"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0.155</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2292" w:type="pct"/>
            <w:gridSpan w:val="5"/>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f. What the company can expect its ROE to be given these probabilities</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0.27125</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Scenario E</w:t>
            </w: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1687" w:type="pct"/>
            <w:gridSpan w:val="4"/>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However, assume the company now has 5,000,000 SAR Debt</w:t>
            </w: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446" w:type="pct"/>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Calculate: </w:t>
            </w: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Scenario A</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899" w:type="pct"/>
            <w:gridSpan w:val="2"/>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r w:rsidRPr="00206F45">
              <w:rPr>
                <w:rFonts w:ascii="Calibri" w:eastAsia="Times New Roman" w:hAnsi="Calibri" w:cs="Calibri"/>
                <w:b/>
                <w:bCs/>
                <w:color w:val="000000"/>
              </w:rPr>
              <w:t>Scenario B</w:t>
            </w:r>
          </w:p>
        </w:tc>
        <w:tc>
          <w:tcPr>
            <w:tcW w:w="153" w:type="pct"/>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899" w:type="pct"/>
            <w:gridSpan w:val="2"/>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r w:rsidRPr="00206F45">
              <w:rPr>
                <w:rFonts w:ascii="Calibri" w:eastAsia="Times New Roman" w:hAnsi="Calibri" w:cs="Calibri"/>
                <w:b/>
                <w:bCs/>
                <w:color w:val="000000"/>
              </w:rPr>
              <w:t>Scenario C</w:t>
            </w:r>
          </w:p>
        </w:tc>
        <w:tc>
          <w:tcPr>
            <w:tcW w:w="153" w:type="pct"/>
            <w:shd w:val="clear" w:color="auto" w:fill="auto"/>
            <w:noWrap/>
            <w:vAlign w:val="bottom"/>
            <w:hideMark/>
          </w:tcPr>
          <w:p w:rsidR="00206F45" w:rsidRPr="00206F45" w:rsidRDefault="00206F45" w:rsidP="00206F45">
            <w:pPr>
              <w:spacing w:after="0" w:line="240" w:lineRule="auto"/>
              <w:jc w:val="center"/>
              <w:rPr>
                <w:rFonts w:ascii="Calibri" w:eastAsia="Times New Roman" w:hAnsi="Calibri" w:cs="Calibri"/>
                <w:b/>
                <w:bCs/>
                <w:color w:val="000000"/>
              </w:rPr>
            </w:pPr>
          </w:p>
        </w:tc>
      </w:tr>
      <w:tr w:rsidR="007F1A2B" w:rsidRPr="00206F45" w:rsidTr="007F1A2B">
        <w:trPr>
          <w:trHeight w:val="315"/>
        </w:trPr>
        <w:tc>
          <w:tcPr>
            <w:tcW w:w="1687" w:type="pct"/>
            <w:gridSpan w:val="4"/>
            <w:shd w:val="clear" w:color="auto" w:fill="auto"/>
            <w:noWrap/>
            <w:vAlign w:val="center"/>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a.</w:t>
            </w:r>
            <w:r w:rsidRPr="00206F45">
              <w:rPr>
                <w:rFonts w:ascii="Times New Roman" w:eastAsia="Times New Roman" w:hAnsi="Times New Roman" w:cs="Times New Roman"/>
                <w:color w:val="000000"/>
                <w:sz w:val="14"/>
                <w:szCs w:val="14"/>
              </w:rPr>
              <w:t xml:space="preserve">                   </w:t>
            </w:r>
            <w:r w:rsidRPr="00206F45">
              <w:rPr>
                <w:rFonts w:ascii="Times New Roman" w:eastAsia="Times New Roman" w:hAnsi="Times New Roman" w:cs="Times New Roman"/>
                <w:color w:val="000000"/>
                <w:sz w:val="24"/>
                <w:szCs w:val="24"/>
              </w:rPr>
              <w:t>The expected net income for each probability</w:t>
            </w: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color w:val="000000"/>
                <w:sz w:val="24"/>
                <w:szCs w:val="24"/>
              </w:rPr>
            </w:pP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B1</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B2</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B1</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B2</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9.50%</w:t>
            </w: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Debt</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5000000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Debt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5000000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5000000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Debt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5000000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5000000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Operating Income</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Operating Income</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Operating Income</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1500000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 rate </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 rate</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 rate</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22.50%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Debt Expense </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475000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Interest Rate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9.50%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9.50%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Interest Rate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12.50%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12.50%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Taxable income </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1025000</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Interest Expense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475000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475000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Interest Expense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625000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625000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Tax</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230625</w:t>
            </w:r>
          </w:p>
        </w:tc>
        <w:tc>
          <w:tcPr>
            <w:tcW w:w="441"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Taxable Income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1025000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1025000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Taxable Income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875000</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875000</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Net Inome =</w:t>
            </w:r>
          </w:p>
        </w:tc>
        <w:tc>
          <w:tcPr>
            <w:tcW w:w="705" w:type="pct"/>
            <w:gridSpan w:val="2"/>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Income - Tax </w:t>
            </w: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230625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230625</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Tax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196875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196875</w:t>
            </w:r>
          </w:p>
        </w:tc>
        <w:tc>
          <w:tcPr>
            <w:tcW w:w="153"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794375</w:t>
            </w:r>
          </w:p>
        </w:tc>
        <w:tc>
          <w:tcPr>
            <w:tcW w:w="441"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Net Income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794375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794375</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c>
          <w:tcPr>
            <w:tcW w:w="60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 xml:space="preserve">Net Income </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1303125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u w:val="single"/>
              </w:rPr>
            </w:pPr>
            <w:r w:rsidRPr="00206F45">
              <w:rPr>
                <w:rFonts w:ascii="Calibri" w:eastAsia="Times New Roman" w:hAnsi="Calibri" w:cs="Calibri"/>
                <w:b/>
                <w:bCs/>
                <w:color w:val="000000"/>
                <w:u w:val="single"/>
              </w:rPr>
              <w:t>1303125</w:t>
            </w:r>
          </w:p>
        </w:tc>
        <w:tc>
          <w:tcPr>
            <w:tcW w:w="153"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SAR</w:t>
            </w: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1687" w:type="pct"/>
            <w:gridSpan w:val="4"/>
            <w:shd w:val="clear" w:color="auto" w:fill="auto"/>
            <w:noWrap/>
            <w:vAlign w:val="center"/>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b. The expected dollar return to investors for each probability</w:t>
            </w:r>
          </w:p>
        </w:tc>
        <w:tc>
          <w:tcPr>
            <w:tcW w:w="605" w:type="pct"/>
            <w:shd w:val="clear" w:color="auto" w:fill="auto"/>
            <w:noWrap/>
            <w:vAlign w:val="bottom"/>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A</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C</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0.105916667</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0.105916667</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0.17375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1247" w:type="pct"/>
            <w:gridSpan w:val="3"/>
            <w:shd w:val="clear" w:color="auto" w:fill="auto"/>
            <w:noWrap/>
            <w:vAlign w:val="center"/>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c. The expected ROE for each probability</w:t>
            </w:r>
          </w:p>
        </w:tc>
        <w:tc>
          <w:tcPr>
            <w:tcW w:w="441" w:type="pct"/>
            <w:shd w:val="clear" w:color="auto" w:fill="auto"/>
            <w:noWrap/>
            <w:vAlign w:val="bottom"/>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A</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B</w:t>
            </w: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r w:rsidRPr="00206F45">
              <w:rPr>
                <w:rFonts w:ascii="Calibri" w:eastAsia="Times New Roman" w:hAnsi="Calibri" w:cs="Calibri"/>
                <w:b/>
                <w:bCs/>
                <w:color w:val="000000"/>
              </w:rPr>
              <w:t>C</w:t>
            </w:r>
          </w:p>
        </w:tc>
        <w:tc>
          <w:tcPr>
            <w:tcW w:w="340"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b/>
                <w:bCs/>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0.31775</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0.31775</w:t>
            </w: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r w:rsidRPr="00206F45">
              <w:rPr>
                <w:rFonts w:ascii="Calibri" w:eastAsia="Times New Roman" w:hAnsi="Calibri" w:cs="Calibri"/>
                <w:color w:val="000000"/>
              </w:rPr>
              <w:t>0.52125</w:t>
            </w:r>
          </w:p>
        </w:tc>
        <w:tc>
          <w:tcPr>
            <w:tcW w:w="340"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color w:val="00000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2292" w:type="pct"/>
            <w:gridSpan w:val="5"/>
            <w:shd w:val="clear" w:color="auto" w:fill="auto"/>
            <w:noWrap/>
            <w:vAlign w:val="center"/>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d. What the company can expect its net income to be given these probabilities</w:t>
            </w:r>
          </w:p>
        </w:tc>
        <w:tc>
          <w:tcPr>
            <w:tcW w:w="559" w:type="pct"/>
            <w:shd w:val="clear" w:color="auto" w:fill="auto"/>
            <w:noWrap/>
            <w:vAlign w:val="bottom"/>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1303125</w:t>
            </w:r>
          </w:p>
        </w:tc>
        <w:tc>
          <w:tcPr>
            <w:tcW w:w="265"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r w:rsidRPr="00206F45">
              <w:rPr>
                <w:rFonts w:ascii="Calibri" w:eastAsia="Times New Roman" w:hAnsi="Calibri" w:cs="Calibri"/>
                <w:color w:val="000000"/>
              </w:rPr>
              <w:t>SAR</w:t>
            </w:r>
          </w:p>
        </w:tc>
        <w:tc>
          <w:tcPr>
            <w:tcW w:w="441" w:type="pct"/>
            <w:shd w:val="clear" w:color="auto" w:fill="auto"/>
            <w:noWrap/>
            <w:vAlign w:val="bottom"/>
            <w:hideMark/>
          </w:tcPr>
          <w:p w:rsidR="00206F45" w:rsidRPr="00206F45" w:rsidRDefault="00206F45" w:rsidP="00206F45">
            <w:pPr>
              <w:spacing w:after="0" w:line="240" w:lineRule="auto"/>
              <w:rPr>
                <w:rFonts w:ascii="Calibri" w:eastAsia="Times New Roman" w:hAnsi="Calibri" w:cs="Calibri"/>
                <w:color w:val="00000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26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15"/>
        </w:trPr>
        <w:tc>
          <w:tcPr>
            <w:tcW w:w="2292" w:type="pct"/>
            <w:gridSpan w:val="5"/>
            <w:shd w:val="clear" w:color="auto" w:fill="auto"/>
            <w:noWrap/>
            <w:vAlign w:val="center"/>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r w:rsidRPr="00206F45">
              <w:rPr>
                <w:rFonts w:ascii="Times New Roman" w:eastAsia="Times New Roman" w:hAnsi="Times New Roman" w:cs="Times New Roman"/>
                <w:color w:val="000000"/>
                <w:sz w:val="24"/>
                <w:szCs w:val="24"/>
              </w:rPr>
              <w:t>e. What the company can expect dollar return to investors to be given these probabilities</w:t>
            </w:r>
          </w:p>
        </w:tc>
        <w:tc>
          <w:tcPr>
            <w:tcW w:w="559" w:type="pct"/>
            <w:shd w:val="clear" w:color="auto" w:fill="auto"/>
            <w:noWrap/>
            <w:vAlign w:val="bottom"/>
            <w:hideMark/>
          </w:tcPr>
          <w:p w:rsidR="00206F45" w:rsidRPr="00206F45" w:rsidRDefault="00206F45" w:rsidP="00206F45">
            <w:pPr>
              <w:spacing w:after="0" w:line="240" w:lineRule="auto"/>
              <w:ind w:firstLineChars="100" w:firstLine="240"/>
              <w:rPr>
                <w:rFonts w:ascii="Times New Roman" w:eastAsia="Times New Roman" w:hAnsi="Times New Roman" w:cs="Times New Roman"/>
                <w:color w:val="000000"/>
                <w:sz w:val="24"/>
                <w:szCs w:val="24"/>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r w:rsidR="007F1A2B" w:rsidRPr="00206F45" w:rsidTr="007F1A2B">
        <w:trPr>
          <w:trHeight w:val="300"/>
        </w:trPr>
        <w:tc>
          <w:tcPr>
            <w:tcW w:w="446"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36"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r w:rsidRPr="00206F45">
              <w:rPr>
                <w:rFonts w:ascii="Calibri" w:eastAsia="Times New Roman" w:hAnsi="Calibri" w:cs="Calibri"/>
                <w:b/>
                <w:bCs/>
                <w:color w:val="000000"/>
              </w:rPr>
              <w:t>0.17375</w:t>
            </w:r>
          </w:p>
        </w:tc>
        <w:tc>
          <w:tcPr>
            <w:tcW w:w="265" w:type="pct"/>
            <w:shd w:val="clear" w:color="auto" w:fill="auto"/>
            <w:noWrap/>
            <w:vAlign w:val="bottom"/>
            <w:hideMark/>
          </w:tcPr>
          <w:p w:rsidR="00206F45" w:rsidRPr="00206F45" w:rsidRDefault="00206F45" w:rsidP="00206F45">
            <w:pPr>
              <w:spacing w:after="0" w:line="240" w:lineRule="auto"/>
              <w:jc w:val="right"/>
              <w:rPr>
                <w:rFonts w:ascii="Calibri" w:eastAsia="Times New Roman" w:hAnsi="Calibri" w:cs="Calibri"/>
                <w:b/>
                <w:bCs/>
                <w:color w:val="000000"/>
              </w:rPr>
            </w:pPr>
          </w:p>
        </w:tc>
        <w:tc>
          <w:tcPr>
            <w:tcW w:w="441"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5"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60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559"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340"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c>
          <w:tcPr>
            <w:tcW w:w="153" w:type="pct"/>
            <w:shd w:val="clear" w:color="auto" w:fill="auto"/>
            <w:noWrap/>
            <w:vAlign w:val="bottom"/>
            <w:hideMark/>
          </w:tcPr>
          <w:p w:rsidR="00206F45" w:rsidRPr="00206F45" w:rsidRDefault="00206F45" w:rsidP="00206F45">
            <w:pPr>
              <w:spacing w:after="0" w:line="240" w:lineRule="auto"/>
              <w:rPr>
                <w:rFonts w:ascii="Times New Roman" w:eastAsia="Times New Roman" w:hAnsi="Times New Roman" w:cs="Times New Roman"/>
                <w:sz w:val="20"/>
                <w:szCs w:val="20"/>
              </w:rPr>
            </w:pPr>
          </w:p>
        </w:tc>
      </w:tr>
    </w:tbl>
    <w:p w:rsidR="00206F45" w:rsidRPr="004A6898" w:rsidRDefault="00206F45" w:rsidP="00206F45">
      <w:pPr>
        <w:spacing w:before="100" w:beforeAutospacing="1" w:after="100" w:afterAutospacing="1" w:line="480" w:lineRule="auto"/>
        <w:rPr>
          <w:rFonts w:ascii="Times New Roman" w:eastAsia="Times New Roman" w:hAnsi="Times New Roman" w:cs="Times New Roman"/>
          <w:bCs/>
          <w:color w:val="000000"/>
          <w:sz w:val="24"/>
          <w:szCs w:val="24"/>
          <w:bdr w:val="none" w:sz="0" w:space="0" w:color="auto" w:frame="1"/>
        </w:rPr>
      </w:pPr>
      <w:r>
        <w:rPr>
          <w:rFonts w:ascii="Times New Roman" w:eastAsia="Times New Roman" w:hAnsi="Times New Roman" w:cs="Times New Roman"/>
          <w:bCs/>
          <w:color w:val="000000"/>
          <w:sz w:val="24"/>
          <w:szCs w:val="24"/>
          <w:bdr w:val="none" w:sz="0" w:space="0" w:color="auto" w:frame="1"/>
        </w:rPr>
        <w:t xml:space="preserve"> </w:t>
      </w:r>
    </w:p>
    <w:sectPr w:rsidR="00206F45" w:rsidRPr="004A6898" w:rsidSect="003A41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215A" w:rsidRDefault="0030215A" w:rsidP="007525FD">
      <w:pPr>
        <w:spacing w:after="0" w:line="240" w:lineRule="auto"/>
      </w:pPr>
      <w:r>
        <w:separator/>
      </w:r>
    </w:p>
  </w:endnote>
  <w:endnote w:type="continuationSeparator" w:id="0">
    <w:p w:rsidR="0030215A" w:rsidRDefault="0030215A" w:rsidP="00752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215A" w:rsidRDefault="0030215A" w:rsidP="007525FD">
      <w:pPr>
        <w:spacing w:after="0" w:line="240" w:lineRule="auto"/>
      </w:pPr>
      <w:r>
        <w:separator/>
      </w:r>
    </w:p>
  </w:footnote>
  <w:footnote w:type="continuationSeparator" w:id="0">
    <w:p w:rsidR="0030215A" w:rsidRDefault="0030215A" w:rsidP="007525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6F45" w:rsidRPr="003A415A" w:rsidRDefault="00206F45" w:rsidP="003A415A">
    <w:pPr>
      <w:pStyle w:val="Header"/>
      <w:rPr>
        <w:sz w:val="24"/>
        <w:szCs w:val="24"/>
      </w:rPr>
    </w:pPr>
    <w:r w:rsidRPr="007525FD">
      <w:rPr>
        <w:rFonts w:ascii="Times New Roman" w:eastAsia="Times New Roman" w:hAnsi="Times New Roman" w:cs="Times New Roman"/>
        <w:bCs/>
        <w:color w:val="000000"/>
        <w:sz w:val="24"/>
        <w:szCs w:val="24"/>
        <w:bdr w:val="none" w:sz="0" w:space="0" w:color="auto" w:frame="1"/>
      </w:rPr>
      <w:t>Running Head: CAPITAL STRUCTURE DECISIONS</w:t>
    </w:r>
    <w:r>
      <w:rPr>
        <w:sz w:val="24"/>
        <w:szCs w:val="24"/>
      </w:rPr>
      <w:tab/>
    </w:r>
    <w:sdt>
      <w:sdtPr>
        <w:id w:val="1266040212"/>
        <w:docPartObj>
          <w:docPartGallery w:val="Page Numbers (Top of Page)"/>
          <w:docPartUnique/>
        </w:docPartObj>
      </w:sdtPr>
      <w:sdtEndPr>
        <w:rPr>
          <w:rFonts w:ascii="Times New Roman" w:hAnsi="Times New Roman" w:cs="Times New Roman"/>
          <w:noProof/>
          <w:sz w:val="24"/>
          <w:szCs w:val="24"/>
        </w:rPr>
      </w:sdtEndPr>
      <w:sdtContent>
        <w:r w:rsidRPr="003A415A">
          <w:rPr>
            <w:rFonts w:ascii="Times New Roman" w:hAnsi="Times New Roman" w:cs="Times New Roman"/>
            <w:sz w:val="24"/>
            <w:szCs w:val="24"/>
          </w:rPr>
          <w:fldChar w:fldCharType="begin"/>
        </w:r>
        <w:r w:rsidRPr="003A415A">
          <w:rPr>
            <w:rFonts w:ascii="Times New Roman" w:hAnsi="Times New Roman" w:cs="Times New Roman"/>
            <w:sz w:val="24"/>
            <w:szCs w:val="24"/>
          </w:rPr>
          <w:instrText xml:space="preserve"> PAGE   \* MERGEFORMAT </w:instrText>
        </w:r>
        <w:r w:rsidRPr="003A415A">
          <w:rPr>
            <w:rFonts w:ascii="Times New Roman" w:hAnsi="Times New Roman" w:cs="Times New Roman"/>
            <w:sz w:val="24"/>
            <w:szCs w:val="24"/>
          </w:rPr>
          <w:fldChar w:fldCharType="separate"/>
        </w:r>
        <w:r w:rsidR="007F1A2B">
          <w:rPr>
            <w:rFonts w:ascii="Times New Roman" w:hAnsi="Times New Roman" w:cs="Times New Roman"/>
            <w:noProof/>
            <w:sz w:val="24"/>
            <w:szCs w:val="24"/>
          </w:rPr>
          <w:t>2</w:t>
        </w:r>
        <w:r w:rsidRPr="003A415A">
          <w:rPr>
            <w:rFonts w:ascii="Times New Roman" w:hAnsi="Times New Roman" w:cs="Times New Roman"/>
            <w:noProof/>
            <w:sz w:val="24"/>
            <w:szCs w:val="24"/>
          </w:rPr>
          <w:fldChar w:fldCharType="end"/>
        </w:r>
      </w:sdtContent>
    </w:sdt>
  </w:p>
  <w:p w:rsidR="00206F45" w:rsidRPr="007525FD" w:rsidRDefault="00206F45">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6F45" w:rsidRDefault="00206F45">
    <w:pPr>
      <w:pStyle w:val="Header"/>
    </w:pPr>
    <w:r w:rsidRPr="007525FD">
      <w:rPr>
        <w:rFonts w:ascii="Times New Roman" w:eastAsia="Times New Roman" w:hAnsi="Times New Roman" w:cs="Times New Roman"/>
        <w:bCs/>
        <w:color w:val="000000"/>
        <w:sz w:val="24"/>
        <w:szCs w:val="24"/>
        <w:bdr w:val="none" w:sz="0" w:space="0" w:color="auto" w:frame="1"/>
      </w:rPr>
      <w:t>Running Head: CAPITAL STRUCTURE DECISIONS</w:t>
    </w:r>
    <w:r>
      <w:rPr>
        <w:sz w:val="24"/>
        <w:szCs w:val="24"/>
      </w:rPr>
      <w:tab/>
    </w:r>
    <w:sdt>
      <w:sdtPr>
        <w:id w:val="-1836904244"/>
        <w:docPartObj>
          <w:docPartGallery w:val="Page Numbers (Top of Page)"/>
          <w:docPartUnique/>
        </w:docPartObj>
      </w:sdtPr>
      <w:sdtEndPr>
        <w:rPr>
          <w:rFonts w:ascii="Times New Roman" w:hAnsi="Times New Roman" w:cs="Times New Roman"/>
          <w:noProof/>
          <w:sz w:val="24"/>
          <w:szCs w:val="24"/>
        </w:rPr>
      </w:sdtEndPr>
      <w:sdtContent>
        <w:r w:rsidRPr="003A415A">
          <w:rPr>
            <w:rFonts w:ascii="Times New Roman" w:hAnsi="Times New Roman" w:cs="Times New Roman"/>
            <w:sz w:val="24"/>
            <w:szCs w:val="24"/>
          </w:rPr>
          <w:fldChar w:fldCharType="begin"/>
        </w:r>
        <w:r w:rsidRPr="003A415A">
          <w:rPr>
            <w:rFonts w:ascii="Times New Roman" w:hAnsi="Times New Roman" w:cs="Times New Roman"/>
            <w:sz w:val="24"/>
            <w:szCs w:val="24"/>
          </w:rPr>
          <w:instrText xml:space="preserve"> PAGE   \* MERGEFORMAT </w:instrText>
        </w:r>
        <w:r w:rsidRPr="003A415A">
          <w:rPr>
            <w:rFonts w:ascii="Times New Roman" w:hAnsi="Times New Roman" w:cs="Times New Roman"/>
            <w:sz w:val="24"/>
            <w:szCs w:val="24"/>
          </w:rPr>
          <w:fldChar w:fldCharType="separate"/>
        </w:r>
        <w:r w:rsidR="0030215A">
          <w:rPr>
            <w:rFonts w:ascii="Times New Roman" w:hAnsi="Times New Roman" w:cs="Times New Roman"/>
            <w:noProof/>
            <w:sz w:val="24"/>
            <w:szCs w:val="24"/>
          </w:rPr>
          <w:t>1</w:t>
        </w:r>
        <w:r w:rsidRPr="003A415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F4506B"/>
    <w:multiLevelType w:val="multilevel"/>
    <w:tmpl w:val="BDA2A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945D16"/>
    <w:multiLevelType w:val="multilevel"/>
    <w:tmpl w:val="DFFEC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35B2CEE"/>
    <w:multiLevelType w:val="multilevel"/>
    <w:tmpl w:val="B0148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lvlOverride w:ilvl="0">
      <w:lvl w:ilvl="0">
        <w:numFmt w:val="lowerLetter"/>
        <w:lvlText w:val="%1."/>
        <w:lvlJc w:val="left"/>
      </w:lvl>
    </w:lvlOverride>
  </w:num>
  <w:num w:numId="2">
    <w:abstractNumId w:val="0"/>
    <w:lvlOverride w:ilvl="0">
      <w:lvl w:ilvl="0">
        <w:numFmt w:val="lowerLetter"/>
        <w:lvlText w:val="%1."/>
        <w:lvlJc w:val="left"/>
      </w:lvl>
    </w:lvlOverride>
  </w:num>
  <w:num w:numId="3">
    <w:abstractNumId w:val="2"/>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5FD"/>
    <w:rsid w:val="00131AEE"/>
    <w:rsid w:val="00206F45"/>
    <w:rsid w:val="0030215A"/>
    <w:rsid w:val="0037560F"/>
    <w:rsid w:val="003A415A"/>
    <w:rsid w:val="004A6898"/>
    <w:rsid w:val="0073092C"/>
    <w:rsid w:val="007525FD"/>
    <w:rsid w:val="007F1A2B"/>
    <w:rsid w:val="008D064A"/>
    <w:rsid w:val="00C93449"/>
    <w:rsid w:val="00E47B4B"/>
    <w:rsid w:val="00E746B3"/>
    <w:rsid w:val="00FA6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E8164F-CA35-4CBB-937C-A126112D5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5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5FD"/>
  </w:style>
  <w:style w:type="paragraph" w:styleId="Footer">
    <w:name w:val="footer"/>
    <w:basedOn w:val="Normal"/>
    <w:link w:val="FooterChar"/>
    <w:uiPriority w:val="99"/>
    <w:unhideWhenUsed/>
    <w:rsid w:val="007525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1098767">
      <w:bodyDiv w:val="1"/>
      <w:marLeft w:val="0"/>
      <w:marRight w:val="0"/>
      <w:marTop w:val="0"/>
      <w:marBottom w:val="0"/>
      <w:divBdr>
        <w:top w:val="none" w:sz="0" w:space="0" w:color="auto"/>
        <w:left w:val="none" w:sz="0" w:space="0" w:color="auto"/>
        <w:bottom w:val="none" w:sz="0" w:space="0" w:color="auto"/>
        <w:right w:val="none" w:sz="0" w:space="0" w:color="auto"/>
      </w:divBdr>
    </w:div>
    <w:div w:id="212044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1876</Words>
  <Characters>10695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2021-11-10T11:52:00Z</dcterms:created>
  <dcterms:modified xsi:type="dcterms:W3CDTF">2021-11-10T12:12:00Z</dcterms:modified>
</cp:coreProperties>
</file>